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6DAA" w:rsidRDefault="00B65A02">
      <w:pPr>
        <w:jc w:val="center"/>
      </w:pPr>
      <w:bookmarkStart w:id="0" w:name="_GoBack"/>
      <w:bookmarkEnd w:id="0"/>
      <w:r>
        <w:t>АКАДЕМІЯ ПРАЦІ, СОЦІАЛЬНИХ ВІДНОСИН І ТУРИЗМУ</w:t>
      </w:r>
    </w:p>
    <w:p w:rsidR="00CE6DAA" w:rsidRDefault="00B65A02">
      <w:pPr>
        <w:pStyle w:val="aa"/>
        <w:jc w:val="center"/>
      </w:pPr>
      <w:r>
        <w:t>Таблиця врахування пропозицій до ОПП</w:t>
      </w:r>
    </w:p>
    <w:p w:rsidR="00CE6DAA" w:rsidRDefault="00B65A02">
      <w:pPr>
        <w:jc w:val="center"/>
      </w:pPr>
      <w:r>
        <w:t>«Професійна освіта. Управління інформаційною безпекою»</w:t>
      </w:r>
      <w:r>
        <w:br/>
        <w:t>Другий магістерський рівень • А5 Професійна освіта • Проєкт рішень робочої групи</w:t>
      </w:r>
    </w:p>
    <w:p w:rsidR="00CE6DAA" w:rsidRDefault="00B65A02">
      <w:r>
        <w:t xml:space="preserve">Рішення стосуються внесення змін </w:t>
      </w:r>
      <w:r>
        <w:t>до проєктів ОПП та навчальних планів. Статус «враховано» означає відображення пропозиції у цих проєктах; «враховано частково» — відображення її змістової частини за потреби окремого організаційного рішення. Статус «відхилено» застосовується лише до пропози</w:t>
      </w:r>
      <w:r>
        <w:t>ції, яку вирішено не реалізовувати, з відповідним обґрунтуванням.</w:t>
      </w:r>
    </w:p>
    <w:p w:rsidR="00CE6DAA" w:rsidRDefault="00B65A02">
      <w:pPr>
        <w:pStyle w:val="1"/>
      </w:pPr>
      <w:r>
        <w:t>1 Зміст програми і практична підготовка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948"/>
        <w:gridCol w:w="2098"/>
        <w:gridCol w:w="1417"/>
        <w:gridCol w:w="8220"/>
      </w:tblGrid>
      <w:tr w:rsidR="00CE6DAA">
        <w:trPr>
          <w:cantSplit/>
          <w:tblHeader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Пропозиція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Джерело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Проєкт рішення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Місце врахування та обґрунтування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 xml:space="preserve">Актуалізувати цифровий зміст, проєктний менеджмент, аналітику даних і </w:t>
            </w:r>
            <w:r>
              <w:rPr>
                <w:sz w:val="21"/>
              </w:rPr>
              <w:t>професійні кейси.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Довідка роботодавців: 05.03.2025, № 13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ОПП, п. 7.1; ОК7–ОК9; у навчальних планах ВК25, ВК26, ВК30. Передбачено аналіз даних та інцидентів, командний проєкт і захист практичного рішення.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 xml:space="preserve">Посилити етичні, правові та професійні </w:t>
            </w:r>
            <w:r>
              <w:rPr>
                <w:sz w:val="21"/>
              </w:rPr>
              <w:t>вимоги до роботи з інформацією.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Довідка роботодавців: 05.03.2025, № 13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ОПП, п. 7.1, розд. 4.2 і 4.4; ОК7, ОК8, ОК11, ОК12. Завдання й оцінювання охоплюють захист даних, правомірність доступу, доброчесність і простежуваність доказів.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 xml:space="preserve">Збільшити </w:t>
            </w:r>
            <w:r>
              <w:rPr>
                <w:sz w:val="21"/>
              </w:rPr>
              <w:t>практичну підготовку та виконання завдань на реальних базах.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Довідка роботодавців: 09.04.2025, № 17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 частково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Посилено лабораторний вибір і прикладні завдання, ОПП п. 7.1–7.2. Обсяг практик збережено: 20 ЄКТС; ОК10 — 9, ОК11 — 11. Подальше збільше</w:t>
            </w:r>
            <w:r>
              <w:rPr>
                <w:sz w:val="21"/>
              </w:rPr>
              <w:t>ння кредитів потребуватиме перерозподілу 90 ЄКТС; доступ до реальних баз — договорів.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Залучати практиків до лекцій, тренінгів і майстер-класів.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Довідка роботодавців: 09.04.2025, № 17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 частково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 xml:space="preserve">ОПП, п. 1.13 і 7.1, передбачає участь </w:t>
            </w:r>
            <w:r>
              <w:rPr>
                <w:sz w:val="21"/>
              </w:rPr>
              <w:t>практиків. Конкретні викладачі, навантаження і заходи оформлюються окремо. Проєкт не підтверджує фактичного проведення занять запрошеними фахівцями.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Залучати представників компаній до консультацій і рецензування магістерських робіт.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Довідка роботодавців</w:t>
            </w:r>
            <w:r>
              <w:rPr>
                <w:sz w:val="21"/>
              </w:rPr>
              <w:t>: 09.04.2025, № 17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 частково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ОПП, п. 7.1; ОК11–ОК12. Визначено можливість зовнішніх консультацій та рецензування. Призначення фахівців і фактичні рецензії оформлюються для конкретних робіт; академічне керівництво зберігається.</w:t>
            </w:r>
          </w:p>
        </w:tc>
      </w:tr>
    </w:tbl>
    <w:p w:rsidR="00CE6DAA" w:rsidRDefault="00B65A02">
      <w:r>
        <w:t>Дати й номери прото</w:t>
      </w:r>
      <w:r>
        <w:t>колів наведено за довідкою «Врахування пропозицій роботодавців». Персональне авторство пропозицій у довідці не визначено. Внесення змін до проєктів не є підтвердженням виконання організаційних заходів.</w:t>
      </w:r>
    </w:p>
    <w:p w:rsidR="00CE6DAA" w:rsidRDefault="00B65A02">
      <w:r>
        <w:br w:type="page"/>
      </w:r>
    </w:p>
    <w:p w:rsidR="00CE6DAA" w:rsidRDefault="00B65A02">
      <w:pPr>
        <w:pStyle w:val="1"/>
      </w:pPr>
      <w:r>
        <w:lastRenderedPageBreak/>
        <w:t>2 Комунікація та партнерство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948"/>
        <w:gridCol w:w="2098"/>
        <w:gridCol w:w="1417"/>
        <w:gridCol w:w="8220"/>
      </w:tblGrid>
      <w:tr w:rsidR="00CE6DAA">
        <w:trPr>
          <w:cantSplit/>
          <w:tblHeader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Пропозиція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Джерело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Проєкт рішення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Місце врахування та обґрунтування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6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Розвивати комунікацію, командну роботу, управління часом і презентацію результатів.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Довідка роботодавців: 21.05.2025, № 5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 xml:space="preserve">ОПП, п. 7.1; ОК4, ОК6, ОК9–ОК12. Додано вимоги до </w:t>
            </w:r>
            <w:r>
              <w:rPr>
                <w:sz w:val="21"/>
              </w:rPr>
              <w:t>командного завдання, розподілу ролей і строків, звіту та захисту; оцінюються взаємодія й аргументованість висновків.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7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Посилити англійську мову, англомовне навчання та міжнародні стажування.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Довідка роботодавців, п. 4; таблиця, рядок 3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 xml:space="preserve">Враховано </w:t>
            </w:r>
            <w:r>
              <w:rPr>
                <w:sz w:val="21"/>
              </w:rPr>
              <w:t>частково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ОПП, п. 7.1; ОК1 — 6 ЄКТС. Передбачено фахову документацію, анотації й презентації англійською. Повністю англомовні дисципліни та міжнародні стажування потребують кадрового забезпечення і партнерських угод.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8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Створити постійно діючу дорадчу групу</w:t>
            </w:r>
            <w:r>
              <w:rPr>
                <w:sz w:val="21"/>
              </w:rPr>
              <w:t xml:space="preserve"> та забезпечити участь роботодавців у перегляді ОПП.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Довідка роботодавців: 16.06.2025, № 2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 частково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ОПП, п. 7.3: визначено збір, розгляд і документування пропозицій. Склад та повноваження дорадчої групи потребують окремого рішення Академії. Форму</w:t>
            </w:r>
            <w:r>
              <w:rPr>
                <w:sz w:val="21"/>
              </w:rPr>
              <w:t>лювання про вже створену групу не використано.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9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Розширити бази практики та запровадити елементи дуальної освіти.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Довідка роботодавців: 16.06.2025, № 2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 частково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 xml:space="preserve">ОПП, п. 4.1–4.2 і 7.3: передбачено співпрацю з базами та індивідуальні </w:t>
            </w:r>
            <w:r>
              <w:rPr>
                <w:sz w:val="21"/>
              </w:rPr>
              <w:t>завдання. Нові бази й дуальна форма потребують договорів та погодженого порядку реалізації. Сам навчальний план не підтверджує їх запровадження.</w:t>
            </w:r>
          </w:p>
        </w:tc>
      </w:tr>
    </w:tbl>
    <w:p w:rsidR="00CE6DAA" w:rsidRDefault="00B65A02">
      <w:r>
        <w:br w:type="page"/>
      </w:r>
    </w:p>
    <w:p w:rsidR="00CE6DAA" w:rsidRDefault="00B65A02">
      <w:pPr>
        <w:pStyle w:val="1"/>
      </w:pPr>
      <w:r>
        <w:t>3 Кадровий розвиток і лабораторні практикуми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948"/>
        <w:gridCol w:w="2098"/>
        <w:gridCol w:w="1417"/>
        <w:gridCol w:w="8220"/>
      </w:tblGrid>
      <w:tr w:rsidR="00CE6DAA">
        <w:trPr>
          <w:cantSplit/>
          <w:tblHeader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Пропозиція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Джерело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Проєкт рішення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Місце врахування та обґрунт</w:t>
            </w:r>
            <w:r>
              <w:rPr>
                <w:b/>
                <w:sz w:val="21"/>
              </w:rPr>
              <w:t>ування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10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Забезпечити стажування і підвищення кваліфікації викладачів.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Довідка роботодавців: 25.06.2025, № 4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 частково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 xml:space="preserve">ОПП, п. 1.13 і 7.3: передбачено підтвердження відповідності компонентам і план співпраці. Персональні строки, обсяг та </w:t>
            </w:r>
            <w:r>
              <w:rPr>
                <w:sz w:val="21"/>
              </w:rPr>
              <w:t>результати стажувань оформлюються окремо; кількість фактично навчених викладачів не встановлюється цим проєктом.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11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Розвивати спільні дослідження, студентські наукові групи та реальні виробничі завдання.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Довідка роботодавців, п. 7; таблиця, рядок 5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 частково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ОПП, п. 7.1 і 7.3; ОК9, ОК11, ОК12. Передбачено прикладні проєкти та участь партнерів. Окремі спільні дослідження і групи потребують погоджених тем, учасників та умов доступу; їх запуск проєктом не засвідчується.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12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Додати лабораторні п</w:t>
            </w:r>
            <w:r>
              <w:rPr>
                <w:sz w:val="21"/>
              </w:rPr>
              <w:t>рактикуми з мереж і кібербезпеки за технологіями Cisco.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Пропозиція у зверненні замовника під час оновлення планів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 xml:space="preserve">ОПП, п. 7.2; обидва плани: ВК22–ВК23, вкладка «Зміст практикумів». Кожен — 3 ЄКТС. Денна форма: 10 лекційних + 30 лабораторних + 50 </w:t>
            </w:r>
            <w:r>
              <w:rPr>
                <w:sz w:val="21"/>
              </w:rPr>
              <w:t>самостійних годин; заочна: 6 + 12 + 72.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13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Розширити вибір іншими прикладними кібербезпековими практикумами.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Пропозиція у зверненні замовника під час оновлення планів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 xml:space="preserve">ОПП, п. 7.2; обидва плани: ВК24–ВК33 — сервіси, трафік, SOC, </w:t>
            </w:r>
            <w:r>
              <w:rPr>
                <w:sz w:val="21"/>
              </w:rPr>
              <w:t>криміналістика, хмари, Linux/Windows, Python, веб/API, IoT, навчальні кіберлабораторії. Каталог має 33 позиції, індивідуальний вибір — 24 ЄКТС.</w:t>
            </w:r>
          </w:p>
        </w:tc>
      </w:tr>
    </w:tbl>
    <w:p w:rsidR="00CE6DAA" w:rsidRDefault="00B65A02">
      <w:r>
        <w:br w:type="page"/>
      </w:r>
    </w:p>
    <w:p w:rsidR="00CE6DAA" w:rsidRDefault="00B65A02">
      <w:pPr>
        <w:pStyle w:val="1"/>
      </w:pPr>
      <w:r>
        <w:t>4 Узгодження навчальних планів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948"/>
        <w:gridCol w:w="2098"/>
        <w:gridCol w:w="1417"/>
        <w:gridCol w:w="8220"/>
      </w:tblGrid>
      <w:tr w:rsidR="00CE6DAA">
        <w:trPr>
          <w:cantSplit/>
          <w:tblHeader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Пропозиція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Джерело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>Проєкт рішення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b/>
                <w:sz w:val="21"/>
              </w:rPr>
              <w:t xml:space="preserve">Місце врахування та </w:t>
            </w:r>
            <w:r>
              <w:rPr>
                <w:b/>
                <w:sz w:val="21"/>
              </w:rPr>
              <w:t>обґрунтування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14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Уніфікувати позначення вибіркових компонентів як ВК.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Редакційне зауваження замовника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 xml:space="preserve">ОПП, розд. 2 і п. 7.2; обидва навчальні плани. ВК01–ВК33 — коди каталогу; ВК1–ВК8 — вісім місць вибору. Застаріле посилання «ВБ4» із </w:t>
            </w:r>
            <w:r>
              <w:rPr>
                <w:sz w:val="21"/>
              </w:rPr>
              <w:t>довідки не перенесено до актуального каталогу.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15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У денному плані зменшити самостійну роботу у ВК07, ВК08, ВК12 до не більш як 70 %.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Зауваження замовника щодо ВК07, ВК08, ВК12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 xml:space="preserve">Денний план, «Лист2», рядки 30, 31, 35: 90 годин = 14 </w:t>
            </w:r>
            <w:r>
              <w:rPr>
                <w:sz w:val="21"/>
              </w:rPr>
              <w:t>лекційних + 16 практичних + 60 самостійних; частка СР — 66,7 %. Для заочної форми окремо застосовано модель 20 % аудиторної / 80 % самостійної роботи.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16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Забезпечити по 30 кредитів у другому і третьому семестрах.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Зауваження замовника щодо семестрового нав</w:t>
            </w:r>
            <w:r>
              <w:rPr>
                <w:sz w:val="21"/>
              </w:rPr>
              <w:t>антаження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ОПП, п. 3.1; обидва плани, підсумок «Лист2», рядок 65: 30/30/30 ЄКТС. ОК10 — 9 ЄКТС у семестрі 2; ОК11 — 11 у семестрі 3. Разом 90 ЄКТС, 2700 годин; практики — 20 ЄКТС.</w:t>
            </w:r>
          </w:p>
        </w:tc>
      </w:tr>
      <w:tr w:rsidR="00CE6DA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  <w:jc w:val="center"/>
            </w:pPr>
            <w:r>
              <w:rPr>
                <w:sz w:val="21"/>
              </w:rPr>
              <w:t>17</w:t>
            </w:r>
          </w:p>
        </w:tc>
        <w:tc>
          <w:tcPr>
            <w:tcW w:w="29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Підготувати заочний план на основі денного та Положення про осв</w:t>
            </w:r>
            <w:r>
              <w:rPr>
                <w:sz w:val="21"/>
              </w:rPr>
              <w:t>ітній процес.</w:t>
            </w:r>
          </w:p>
        </w:tc>
        <w:tc>
          <w:tcPr>
            <w:tcW w:w="20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Звернення замовника; надане Положення</w:t>
            </w:r>
          </w:p>
        </w:tc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>Враховано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E6DAA" w:rsidRDefault="00B65A02">
            <w:pPr>
              <w:spacing w:before="20" w:after="40"/>
            </w:pPr>
            <w:r>
              <w:rPr>
                <w:sz w:val="21"/>
              </w:rPr>
              <w:t xml:space="preserve">Заочний план: ті самі компоненти, результати, кредити й контроль; дисципліни — 20 % аудиторного навантаження. Разом 360 аудиторних і 1440 самостійних годин дисциплін; окремо 600 годин </w:t>
            </w:r>
            <w:r>
              <w:rPr>
                <w:sz w:val="21"/>
              </w:rPr>
              <w:t>практик і 300 годин кваліфікаційної роботи.</w:t>
            </w:r>
          </w:p>
        </w:tc>
      </w:tr>
    </w:tbl>
    <w:p w:rsidR="00CE6DAA" w:rsidRDefault="00B65A02">
      <w:pPr>
        <w:pStyle w:val="21"/>
      </w:pPr>
      <w:r>
        <w:t>Комплект доопрацьованих проєктів</w:t>
      </w:r>
    </w:p>
    <w:p w:rsidR="00CE6DAA" w:rsidRDefault="00B65A02">
      <w:r>
        <w:t>1. ОПП — уточнено каталог ВК01–ВК33; додано розділ 7 із практичними завданнями, лабораторними практикумами та порядком роботи з пропозиціями.</w:t>
      </w:r>
      <w:r>
        <w:br/>
        <w:t>2. Денний навчальний план — 90 ЄКТС,</w:t>
      </w:r>
      <w:r>
        <w:t xml:space="preserve"> 30/30/30 за семестрами, 33 дисципліни в каталозі.</w:t>
      </w:r>
      <w:r>
        <w:br/>
        <w:t>3. Заочний навчальний план — такий самий обсяг і каталог; окремий розподіл годин та календар освітнього процесу.</w:t>
      </w:r>
    </w:p>
    <w:p w:rsidR="00CE6DAA" w:rsidRDefault="00B65A02">
      <w:r>
        <w:t>Підсумок: враховано — 9; враховано частково — 8; відхилено — 0. Проєкт не передбачає відхиле</w:t>
      </w:r>
      <w:r>
        <w:t>ння жодної з опрацьованих пропозицій.</w:t>
      </w:r>
    </w:p>
    <w:p w:rsidR="00CE6DAA" w:rsidRDefault="00B65A02">
      <w:r>
        <w:t>Гарант ОПП  ____________________  Ганна КАШИНА</w:t>
      </w:r>
      <w:r>
        <w:br/>
        <w:t>Розглянуто робочою групою / кафедрою: протокол № ____ від «____» ____________ 20____ року.</w:t>
      </w:r>
    </w:p>
    <w:sectPr w:rsidR="00CE6DAA" w:rsidSect="00034616">
      <w:footerReference w:type="default" r:id="rId8"/>
      <w:pgSz w:w="16838" w:h="11906"/>
      <w:pgMar w:top="680" w:right="850" w:bottom="68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65A02" w:rsidRDefault="00B65A02">
      <w:pPr>
        <w:spacing w:after="0"/>
      </w:pPr>
      <w:r>
        <w:separator/>
      </w:r>
    </w:p>
  </w:endnote>
  <w:endnote w:type="continuationSeparator" w:id="0">
    <w:p w:rsidR="00B65A02" w:rsidRDefault="00B65A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E6DAA" w:rsidRDefault="00B65A02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754BD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65A02" w:rsidRDefault="00B65A02">
      <w:pPr>
        <w:spacing w:after="0"/>
      </w:pPr>
      <w:r>
        <w:separator/>
      </w:r>
    </w:p>
  </w:footnote>
  <w:footnote w:type="continuationSeparator" w:id="0">
    <w:p w:rsidR="00B65A02" w:rsidRDefault="00B65A0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54BDC"/>
    <w:rsid w:val="00AA1D8D"/>
    <w:rsid w:val="00B47730"/>
    <w:rsid w:val="00B65A02"/>
    <w:rsid w:val="00CB0664"/>
    <w:rsid w:val="00CE6D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BD42DCA-834C-4A3A-83AD-CE0843A76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100"/>
      <w:outlineLvl w:val="0"/>
    </w:pPr>
    <w:rPr>
      <w:rFonts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20"/>
      <w:contextualSpacing/>
    </w:pPr>
    <w:rPr>
      <w:rFonts w:cstheme="majorBidi"/>
      <w:spacing w:val="5"/>
      <w:kern w:val="28"/>
      <w:sz w:val="3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44CA08-B09D-4FF0-A59F-1E9C3A10C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4740</Words>
  <Characters>2702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Ганна Кашина</cp:lastModifiedBy>
  <cp:revision>2</cp:revision>
  <dcterms:created xsi:type="dcterms:W3CDTF">2026-10-17T06:11:00Z</dcterms:created>
  <dcterms:modified xsi:type="dcterms:W3CDTF">2026-10-17T06:11:00Z</dcterms:modified>
  <cp:category/>
</cp:coreProperties>
</file>